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89FF7" w14:textId="77777777"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r w:rsidRPr="00B54964">
        <w:rPr>
          <w:rFonts w:ascii="Times New Roman" w:hAnsi="Times New Roman" w:cs="Times New Roman"/>
          <w:b/>
          <w:iCs/>
          <w:color w:val="000000" w:themeColor="text1"/>
          <w:sz w:val="20"/>
          <w:szCs w:val="20"/>
          <w:lang w:val="kk-KZ"/>
        </w:rPr>
        <w:t>790312499024</w:t>
      </w:r>
      <w:bookmarkStart w:id="0" w:name="_GoBack"/>
      <w:bookmarkEnd w:id="0"/>
    </w:p>
    <w:p w14:paraId="793D6C91" w14:textId="77777777"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r w:rsidRPr="00B54964">
        <w:rPr>
          <w:rFonts w:ascii="Times New Roman" w:hAnsi="Times New Roman" w:cs="Times New Roman"/>
          <w:b/>
          <w:iCs/>
          <w:color w:val="000000" w:themeColor="text1"/>
          <w:sz w:val="20"/>
          <w:szCs w:val="20"/>
          <w:lang w:val="kk-KZ"/>
        </w:rPr>
        <w:t>87768674679</w:t>
      </w:r>
    </w:p>
    <w:p w14:paraId="447AEC77" w14:textId="77777777"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p>
    <w:p w14:paraId="3ACE5963" w14:textId="77777777"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r w:rsidRPr="00B54964">
        <w:rPr>
          <w:rFonts w:ascii="Times New Roman" w:hAnsi="Times New Roman" w:cs="Times New Roman"/>
          <w:b/>
          <w:iCs/>
          <w:color w:val="000000" w:themeColor="text1"/>
          <w:sz w:val="20"/>
          <w:szCs w:val="20"/>
          <w:lang w:val="kk-KZ"/>
        </w:rPr>
        <w:t>ТУРЛЫБЕКОВА Бану Калмурзаевна,</w:t>
      </w:r>
    </w:p>
    <w:p w14:paraId="194801BC" w14:textId="77777777"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r w:rsidRPr="00B54964">
        <w:rPr>
          <w:rFonts w:ascii="Times New Roman" w:hAnsi="Times New Roman" w:cs="Times New Roman"/>
          <w:b/>
          <w:iCs/>
          <w:color w:val="000000" w:themeColor="text1"/>
          <w:sz w:val="20"/>
          <w:szCs w:val="20"/>
          <w:lang w:val="kk-KZ"/>
        </w:rPr>
        <w:t>Al-Farabi Bilim мектебінің биология пәні мұғалімі.</w:t>
      </w:r>
    </w:p>
    <w:p w14:paraId="7A7749CF" w14:textId="007BE179" w:rsidR="00147EC5" w:rsidRPr="00B54964" w:rsidRDefault="00147EC5" w:rsidP="00B54964">
      <w:pPr>
        <w:spacing w:after="0" w:line="240" w:lineRule="auto"/>
        <w:rPr>
          <w:rFonts w:ascii="Times New Roman" w:hAnsi="Times New Roman" w:cs="Times New Roman"/>
          <w:b/>
          <w:iCs/>
          <w:color w:val="000000" w:themeColor="text1"/>
          <w:sz w:val="20"/>
          <w:szCs w:val="20"/>
          <w:lang w:val="kk-KZ"/>
        </w:rPr>
      </w:pPr>
      <w:r w:rsidRPr="00B54964">
        <w:rPr>
          <w:rFonts w:ascii="Times New Roman" w:hAnsi="Times New Roman" w:cs="Times New Roman"/>
          <w:b/>
          <w:iCs/>
          <w:color w:val="000000" w:themeColor="text1"/>
          <w:sz w:val="20"/>
          <w:szCs w:val="20"/>
          <w:lang w:val="kk-KZ"/>
        </w:rPr>
        <w:t>⁠Шымкент қаласы</w:t>
      </w:r>
    </w:p>
    <w:p w14:paraId="4D577319" w14:textId="77777777" w:rsidR="00147EC5" w:rsidRPr="00B54964" w:rsidRDefault="00147EC5" w:rsidP="00B54964">
      <w:pPr>
        <w:spacing w:after="0" w:line="240" w:lineRule="auto"/>
        <w:rPr>
          <w:rFonts w:ascii="Times New Roman" w:hAnsi="Times New Roman" w:cs="Times New Roman"/>
          <w:b/>
          <w:bCs/>
          <w:i/>
          <w:iCs/>
          <w:color w:val="2C333E"/>
          <w:sz w:val="20"/>
          <w:szCs w:val="20"/>
          <w:shd w:val="clear" w:color="auto" w:fill="FFFFFF"/>
          <w:lang w:val="kk-KZ"/>
        </w:rPr>
      </w:pPr>
    </w:p>
    <w:p w14:paraId="17721E80" w14:textId="18761A1C" w:rsidR="00542C85" w:rsidRPr="00B54964" w:rsidRDefault="00147EC5" w:rsidP="00B54964">
      <w:pPr>
        <w:spacing w:after="0" w:line="240" w:lineRule="auto"/>
        <w:jc w:val="center"/>
        <w:rPr>
          <w:rFonts w:ascii="Times New Roman" w:hAnsi="Times New Roman" w:cs="Times New Roman"/>
          <w:b/>
          <w:bCs/>
          <w:iCs/>
          <w:color w:val="2C333E"/>
          <w:sz w:val="20"/>
          <w:szCs w:val="20"/>
          <w:shd w:val="clear" w:color="auto" w:fill="FFFFFF"/>
          <w:lang w:val="kk-KZ"/>
        </w:rPr>
      </w:pPr>
      <w:r w:rsidRPr="00B54964">
        <w:rPr>
          <w:rFonts w:ascii="Times New Roman" w:hAnsi="Times New Roman" w:cs="Times New Roman"/>
          <w:b/>
          <w:bCs/>
          <w:iCs/>
          <w:color w:val="2C333E"/>
          <w:sz w:val="20"/>
          <w:szCs w:val="20"/>
          <w:shd w:val="clear" w:color="auto" w:fill="FFFFFF"/>
          <w:lang w:val="kk-KZ"/>
        </w:rPr>
        <w:t>БИОЛОГИЯ ПӘНІН ОҚЫТУДАҒЫ ВИРТУАЛДЫ ЗЕРТХАНАЛАРДЫҢ ПЕДАГОГИКАЛЫҚ МАҢЫЗЫ</w:t>
      </w:r>
    </w:p>
    <w:p w14:paraId="2B8593DC" w14:textId="77777777" w:rsidR="00B54964" w:rsidRPr="00B54964" w:rsidRDefault="00B54964" w:rsidP="00B54964">
      <w:pPr>
        <w:spacing w:after="0" w:line="240" w:lineRule="auto"/>
        <w:rPr>
          <w:rFonts w:ascii="Times New Roman" w:hAnsi="Times New Roman" w:cs="Times New Roman"/>
          <w:b/>
          <w:bCs/>
          <w:iCs/>
          <w:color w:val="2C333E"/>
          <w:sz w:val="20"/>
          <w:szCs w:val="20"/>
          <w:shd w:val="clear" w:color="auto" w:fill="FFFFFF"/>
          <w:lang w:val="kk-KZ"/>
        </w:rPr>
      </w:pPr>
    </w:p>
    <w:p w14:paraId="1008D577" w14:textId="3E861B8A"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Қазіргі заманғы білім беру жүйесі ғылым мен технологияның дамуымен тығыз байланыста эволюцияланып келеді. Сандық ресурстардың, мультимедиалық платформалардың және интерактивті оқыту құралдарының кең таралуы оқыту процесіне жаңа мүмкіндіктер мен әдістер енгізуге жол ашты. Осындай инновациялардың бірі – виртуалды зертханалар. Олар әсіресе жаратылыстану ғылымдары, соның ішінде биология пәнін оқытуда ерекше тиімді құрал ретінде танылды. Виртуалды зертханалар оқу процесін визуализациялауға, тәжірибелерді қауіпсіз әрі қолжетімді түрде жүргізуге, оқушылардың зерттеушілік қабілеттерін дамытуға мүмкіндік береді.</w:t>
      </w:r>
    </w:p>
    <w:p w14:paraId="2E645126" w14:textId="02953C06"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Виртуалды зертханалардың мәні мен ерекшеліктері</w:t>
      </w:r>
    </w:p>
    <w:p w14:paraId="6556ACF5" w14:textId="54011A03"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Виртуалды зертхана – бұл компьютерлік технологияларға негізделген, нақты биологиялық процестерді модельдейтін интерактивті орта. Ол оқушыларға тәжірибелерді орындауға, объектілермен әрекеттесуге, биологиялық құбылыстардың динамикасын бақылауға мүмкіндік береді. Виртуалды зертханалар дәстүрлі зертхана жабдықтары мен материалдарына тәуелді болмайды: тәжірибелер сандық форматта жүзеге асырылады, ал қателерден болған шығындар болмайды.Виртуалды зертханалардың негізі модельдеу технологияларына сүйенеді. Бұл технологиялар күрделі процестерді қарапайым және көрнекі түрде көрсетуге қабілетті. Мысалы, жасушалық бөліну фазалары, генетикалық рекомбинация, ферменттердің жұмыс механизмі, экожүйелік байланыстар немесе адам ағзасындағы физиологиялық процестер сияқты тақырыптарды оқушы компьютер экранында қадам-қадамымен зерттей алады.</w:t>
      </w:r>
    </w:p>
    <w:p w14:paraId="2F5E73F5" w14:textId="022E1DC0"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Оқушылардың зерттеушілік қабілеттерін дамыту</w:t>
      </w:r>
    </w:p>
    <w:p w14:paraId="1A85E638" w14:textId="0C334185"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Биология – тәжірибелер мен бақылауларға негізделген ғылым. Дегенмен, мектеп жағдайында барлық тәжірибелерді орындауға мүмкіндік бола бермейді. Виртуалды зертханалар мұндай шектеулерді жоя отырып, әрбір оқушыға ғылыми-зерттеушілік әрекетке белсенді қатысуға жағдай жасайды.</w:t>
      </w:r>
    </w:p>
    <w:p w14:paraId="1DDDA29A" w14:textId="69267364"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1.</w:t>
      </w:r>
      <w:r w:rsidR="00542C85" w:rsidRPr="00B54964">
        <w:rPr>
          <w:rFonts w:ascii="Times New Roman" w:hAnsi="Times New Roman" w:cs="Times New Roman"/>
          <w:i/>
          <w:iCs/>
          <w:color w:val="2C333E"/>
          <w:sz w:val="20"/>
          <w:szCs w:val="20"/>
          <w:shd w:val="clear" w:color="auto" w:fill="FFFFFF"/>
          <w:lang w:val="kk-KZ"/>
        </w:rPr>
        <w:t xml:space="preserve"> Оқушы гипотеза құрып, оны виртуалды эксперимент арқылы тексере алады.</w:t>
      </w:r>
    </w:p>
    <w:p w14:paraId="5AB3A085" w14:textId="21684FF7"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2.</w:t>
      </w:r>
      <w:r w:rsidR="00542C85" w:rsidRPr="00B54964">
        <w:rPr>
          <w:rFonts w:ascii="Times New Roman" w:hAnsi="Times New Roman" w:cs="Times New Roman"/>
          <w:i/>
          <w:iCs/>
          <w:color w:val="2C333E"/>
          <w:sz w:val="20"/>
          <w:szCs w:val="20"/>
          <w:shd w:val="clear" w:color="auto" w:fill="FFFFFF"/>
          <w:lang w:val="kk-KZ"/>
        </w:rPr>
        <w:t>Әртүрлі параметрлерді өзгертіп, олардың нәтижеге әсерін зерттей алады.</w:t>
      </w:r>
    </w:p>
    <w:p w14:paraId="0B520FFC" w14:textId="01BB0B6D"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3.</w:t>
      </w:r>
      <w:r w:rsidR="00542C85" w:rsidRPr="00B54964">
        <w:rPr>
          <w:rFonts w:ascii="Times New Roman" w:hAnsi="Times New Roman" w:cs="Times New Roman"/>
          <w:i/>
          <w:iCs/>
          <w:color w:val="2C333E"/>
          <w:sz w:val="20"/>
          <w:szCs w:val="20"/>
          <w:shd w:val="clear" w:color="auto" w:fill="FFFFFF"/>
          <w:lang w:val="kk-KZ"/>
        </w:rPr>
        <w:t>Алынған нәтижелерді талдап, қорытынды жасайды.</w:t>
      </w:r>
    </w:p>
    <w:p w14:paraId="663C0046"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Бұл әрекеттер оқушылардың сын тұрғысынан ойлау, талдау жүргізу, болжам жасау сияқты ғылыми дағдыларын жетілдіреді.</w:t>
      </w:r>
    </w:p>
    <w:p w14:paraId="22A889F1" w14:textId="58765A68"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Қауіпсіздік деңгейін арттыру</w:t>
      </w:r>
    </w:p>
    <w:p w14:paraId="176A83A5" w14:textId="4F772E6F"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Биология сабақтарында кейбір химиялық реактивтерді, микроскопиялық құралдарды немесе биологиялық объектілерді пайдалану тәжірибе қауіпсіздігін талап етеді. Виртуалды зертханалар бұл мәселелерді толықтай шешеді.</w:t>
      </w:r>
    </w:p>
    <w:p w14:paraId="6C491A98" w14:textId="3CDFF8C2"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Қауіпті реактивтер виртуалды түрде ғана қолданылады.</w:t>
      </w:r>
    </w:p>
    <w:p w14:paraId="4B8E2843" w14:textId="1892CDE0"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Тәжірибе кезінде қате жасалса, ешқандай жарақат немесе экологиялық зиян келмейді.</w:t>
      </w:r>
    </w:p>
    <w:p w14:paraId="27AB7386" w14:textId="125793E3"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Биологиялық үлгілерді кесу, disseкция сияқты әрекеттер оқушылар үшін психологиялық тұрғыдан жеңіл болады.</w:t>
      </w:r>
    </w:p>
    <w:p w14:paraId="5D90FC46"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Осылайша виртуалды орта қауіпсіздік талаптарын сақтай отырып, күрделі тәжірибелерді орындауға мүмкіндік береді.</w:t>
      </w:r>
    </w:p>
    <w:p w14:paraId="72237448" w14:textId="7A91F3D1"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Қолжетімділік және тең мүмкіндік</w:t>
      </w:r>
    </w:p>
    <w:p w14:paraId="390628E2" w14:textId="4C43A4E4"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Рural мектептерде немесе зертханалық базасы әлсіз оқу орындарында биология пәнін сапалы оқытуға жағдай жасайтын құралдар әрдайым бола бермейді. Виртуалды зертханалар бұл олқылықтың орнын толықтыра алады.</w:t>
      </w:r>
    </w:p>
    <w:p w14:paraId="3C5B4257" w14:textId="1D7626A9"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Әрбір оқушы компьютер немесе планшет арқылы зертханалық жұмыстарды орындауға мүмкіндік алады.</w:t>
      </w:r>
    </w:p>
    <w:p w14:paraId="140CCE16" w14:textId="5B2E0DA3"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Материалдық шығындар (реактив, құрал-жабдық) талап етілмейді.</w:t>
      </w:r>
    </w:p>
    <w:p w14:paraId="4A4AEA99" w14:textId="5EA63A90"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Бір тәжірибені кез келген уақытта бірнеше рет қайталауға болады.</w:t>
      </w:r>
    </w:p>
    <w:p w14:paraId="60994DAD" w14:textId="51D3A8A6" w:rsidR="00E07BA0"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Бұл білім беру теңдігін қамтамасыз етуге ықпал етеді.</w:t>
      </w:r>
    </w:p>
    <w:p w14:paraId="699D7706" w14:textId="5D1097B8"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Күрделі биологиялық процестерді визуализациялау</w:t>
      </w:r>
    </w:p>
    <w:p w14:paraId="56353E9C" w14:textId="2535029E"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Биология пәнінде абстрактілі ұғымдар көп: ДНҚ репликациясы, фотосинтез, жасушалық цикл, физиологиялық жүйелердің өзара байланысы және т.б. Мұндай күрделі процестерді тек мәтін мен сурет арқылы түсіндіру кейде жеткіліксіз.Виртуалды зертханалар 3D-анимация, динамикалық модельдеу арқылы абстрактілі ұғымдарды нақты және түсінікті түрде көрсетеді. Бұл оқушылардың биологияны қабылдауын жеңілдетеді, есте сақтауын жақсартады.</w:t>
      </w:r>
    </w:p>
    <w:p w14:paraId="20400EDD" w14:textId="035C9CF0"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Әдістемелік тұрғыдан қолдану ерекшеліктері</w:t>
      </w:r>
    </w:p>
    <w:p w14:paraId="5619F9A6" w14:textId="29F9BF56"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 xml:space="preserve"> Оқыту формаларымен интеграция</w:t>
      </w:r>
    </w:p>
    <w:p w14:paraId="377C0E17" w14:textId="6D2E17C3"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lastRenderedPageBreak/>
        <w:t>Виртуалды зертханалар дәстүрлі сабақтарды толықтырушы құрал ретінде қарастырылуы тиіс. Мысалы:</w:t>
      </w:r>
    </w:p>
    <w:p w14:paraId="2D355B87" w14:textId="28CD46C2"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Жаңа тақырыпты түсіндіру кезінде виртуалды модельдерді көрсету;</w:t>
      </w:r>
    </w:p>
    <w:p w14:paraId="73051558" w14:textId="307F0164"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Практикалық жұмысты виртуалды зертханада орындау;</w:t>
      </w:r>
    </w:p>
    <w:p w14:paraId="2510BFDD" w14:textId="0329C5F1"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Үй тапсырмалары ретінде электрондық эксперименттер беру;</w:t>
      </w:r>
    </w:p>
    <w:p w14:paraId="0E9D5489" w14:textId="4E2DB21A"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Білімді бекіту мақсатында виртуалды симуляциялар пайдалану.</w:t>
      </w:r>
    </w:p>
    <w:p w14:paraId="3053529F"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Осылайша виртуалды зертхана сабақтың әр кезеңінде тиімді қолданылуы мүмкін.</w:t>
      </w:r>
    </w:p>
    <w:p w14:paraId="0B2B8B5B" w14:textId="45C07449"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Дидактикалық принциптерді сақтау</w:t>
      </w:r>
    </w:p>
    <w:p w14:paraId="7BB8E0C6"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Виртуалды зертханаларды қолдану барысында келесі әдістемелік қағидаттарға назар аудару қажет:</w:t>
      </w:r>
    </w:p>
    <w:p w14:paraId="12151558" w14:textId="2FBDDAC5"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1.</w:t>
      </w:r>
      <w:r w:rsidR="00542C85" w:rsidRPr="00B54964">
        <w:rPr>
          <w:rFonts w:ascii="Times New Roman" w:hAnsi="Times New Roman" w:cs="Times New Roman"/>
          <w:i/>
          <w:iCs/>
          <w:color w:val="2C333E"/>
          <w:sz w:val="20"/>
          <w:szCs w:val="20"/>
          <w:shd w:val="clear" w:color="auto" w:fill="FFFFFF"/>
          <w:lang w:val="kk-KZ"/>
        </w:rPr>
        <w:t>Көрнекілік принципі: виртуалды орта көрнекілікті күшейтіп, нақты процестерді дәл көрсетеді.</w:t>
      </w:r>
    </w:p>
    <w:p w14:paraId="4DE0898A" w14:textId="6FC6871B"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2.</w:t>
      </w:r>
      <w:r w:rsidR="00542C85" w:rsidRPr="00B54964">
        <w:rPr>
          <w:rFonts w:ascii="Times New Roman" w:hAnsi="Times New Roman" w:cs="Times New Roman"/>
          <w:i/>
          <w:iCs/>
          <w:color w:val="2C333E"/>
          <w:sz w:val="20"/>
          <w:szCs w:val="20"/>
          <w:shd w:val="clear" w:color="auto" w:fill="FFFFFF"/>
          <w:lang w:val="kk-KZ"/>
        </w:rPr>
        <w:t>Іс-әрекет принципі: оқушы белсенді тәжірибе орындаушы болады.</w:t>
      </w:r>
    </w:p>
    <w:p w14:paraId="534EEFF3" w14:textId="77777777" w:rsidR="00002914"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3.</w:t>
      </w:r>
      <w:r w:rsidR="00542C85" w:rsidRPr="00B54964">
        <w:rPr>
          <w:rFonts w:ascii="Times New Roman" w:hAnsi="Times New Roman" w:cs="Times New Roman"/>
          <w:i/>
          <w:iCs/>
          <w:color w:val="2C333E"/>
          <w:sz w:val="20"/>
          <w:szCs w:val="20"/>
          <w:shd w:val="clear" w:color="auto" w:fill="FFFFFF"/>
          <w:lang w:val="kk-KZ"/>
        </w:rPr>
        <w:t>Жеке траектория: әр оқушы өз қарқынымен зерттеу жүргізе алады.</w:t>
      </w:r>
    </w:p>
    <w:p w14:paraId="12A6D4F3" w14:textId="6A9FB302" w:rsidR="00542C85" w:rsidRPr="00B54964" w:rsidRDefault="00002914"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4.</w:t>
      </w:r>
      <w:r w:rsidR="00542C85" w:rsidRPr="00B54964">
        <w:rPr>
          <w:rFonts w:ascii="Times New Roman" w:hAnsi="Times New Roman" w:cs="Times New Roman"/>
          <w:i/>
          <w:iCs/>
          <w:color w:val="2C333E"/>
          <w:sz w:val="20"/>
          <w:szCs w:val="20"/>
          <w:shd w:val="clear" w:color="auto" w:fill="FFFFFF"/>
          <w:lang w:val="kk-KZ"/>
        </w:rPr>
        <w:t>Қолжетімділік: тапсырмалар жас ерекшелігі мен дайындық деңгейіне сай болуы тиіс.</w:t>
      </w:r>
    </w:p>
    <w:p w14:paraId="43E382DC" w14:textId="59098393"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Оқу нәтижелерін бағалау</w:t>
      </w:r>
    </w:p>
    <w:p w14:paraId="71642787" w14:textId="5D097611"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Виртуалды зертханалар оқушылардың әрекеттерін автоматты түрде тіркейді. Мұғалім:</w:t>
      </w:r>
    </w:p>
    <w:p w14:paraId="2A4D4A60" w14:textId="648BCD52"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Тәжірибенің орындалу ретін;</w:t>
      </w:r>
    </w:p>
    <w:p w14:paraId="722B00BD" w14:textId="59ABFE35"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Қателер санын;</w:t>
      </w:r>
    </w:p>
    <w:p w14:paraId="76C857E1" w14:textId="5538D8F5"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Нәтижелерді;</w:t>
      </w:r>
    </w:p>
    <w:p w14:paraId="7E9B7C24" w14:textId="3B081A3D"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Қорытындының сапасын бағалай алады.</w:t>
      </w:r>
    </w:p>
    <w:p w14:paraId="2DF65F73"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Бұл формативті бағалауды тиімді жүргізуге мүмкіндік береді.</w:t>
      </w:r>
    </w:p>
    <w:p w14:paraId="6432584C" w14:textId="3BCA56BC"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Виртуалды зертханалардың артықшылықтары</w:t>
      </w:r>
    </w:p>
    <w:p w14:paraId="7A72366B" w14:textId="0BA376A0"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1.Қауіпсіздік – химиялық заттар немесе қауіпті биоматериалдар қолданылмайды.</w:t>
      </w:r>
    </w:p>
    <w:p w14:paraId="0A9EACC6" w14:textId="3BF1E399"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2. Қайталанғыштық – тәжірибені шексіз рет қайталап, нәтижелерді салыстыруға мүмкіндік бар.</w:t>
      </w:r>
    </w:p>
    <w:p w14:paraId="0456CBD3" w14:textId="530A7053"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3.Уақыт үнемдеу – көп уақыт пен дайындықты талап ететін тәжірибелер қысқа мерзімде орындалады.</w:t>
      </w:r>
    </w:p>
    <w:p w14:paraId="10D6115B" w14:textId="42AF2426"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4.Материалдық шығынның болмауы – реактивтер, шыны құралдар қажет емес.</w:t>
      </w:r>
    </w:p>
    <w:p w14:paraId="7F649045" w14:textId="2E08B5E6"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5.Жоғары көрнекілік – күрделі процестерді анимация, 3D модельдер арқылы көрсету.</w:t>
      </w:r>
    </w:p>
    <w:p w14:paraId="4FFF9A75" w14:textId="4F8F873E"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6.Дербес оқытуға ықпал – оқушы өз деңгейіне, қызығушылығына сай тапсырма орындайды.</w:t>
      </w:r>
    </w:p>
    <w:p w14:paraId="1BD549DB" w14:textId="5BEBB609"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7.Саралап оқыту мүмкіндігі – стандартты, күрделі және шығармашылық деңгейдегі тәжірибелерді ұсынуға болады.</w:t>
      </w:r>
    </w:p>
    <w:p w14:paraId="0577CAE3" w14:textId="7E1F09AA"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Шектеулері мен қиындықтары</w:t>
      </w:r>
    </w:p>
    <w:p w14:paraId="2EE4AF64" w14:textId="2EB4CAED"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Әр технология сияқты виртуалды зертханалардың да белгілі шектеулері бар:</w:t>
      </w:r>
    </w:p>
    <w:p w14:paraId="16296413" w14:textId="2C77139D"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1.Техникалық тәуелділік: компьютер, интернет жылдамдығы жеткіліксіз болса, тәжірибені орындау қиын.</w:t>
      </w:r>
    </w:p>
    <w:p w14:paraId="4CF0F116" w14:textId="76738FFC"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2. Тактильді тәжірибенің болмауы: оқушы нақты құралдармен жұмыс істемегендіктен, зертханалық практикалық дағдылар толық қалыптаспайды.</w:t>
      </w:r>
    </w:p>
    <w:p w14:paraId="525DBE12" w14:textId="4D25421C"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3.Бағдарламалық шығындар:кейбір виртуалды зертханалық платформалар ақылы.</w:t>
      </w:r>
    </w:p>
    <w:p w14:paraId="619A42B6" w14:textId="78EB81CC"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4.Психологиялық тәуелділік: виртуалды ортаға шамадан тыс үйреніп, нақты зертханада жұмыс істеу қиындық туғызуы мүмкін.</w:t>
      </w:r>
    </w:p>
    <w:p w14:paraId="75FE203F"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Осыған қарамастан, шектеулер виртуалды зертханалардың жалпы тиімділігін төмендетпейді, тек оларды дәстүрлі зертханалармен кешенді түрде қолданудың қажеттілігін көрсетеді.</w:t>
      </w:r>
    </w:p>
    <w:p w14:paraId="0F1FBDB7" w14:textId="577F0A2B"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Виртуалды зертханаларды тиімді енгізу жолдары</w:t>
      </w:r>
    </w:p>
    <w:p w14:paraId="41D2AE25" w14:textId="3C838130"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Мұғалімдердің кәсіби дайындығы</w:t>
      </w:r>
    </w:p>
    <w:p w14:paraId="38683686"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Виртуалды зертханаларды тиімді пайдалану үшін педагог ақпараттық технологияларды, цифрлық платформаларды толық меңгеруі тиіс. Үнемі біліктілікті арттыру курстары, семинар-тренингтер өткізу маңызды.</w:t>
      </w:r>
    </w:p>
    <w:p w14:paraId="5DD0B3D7" w14:textId="15EEBF3A"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Оқу-әдістемелік материалдар әзірлеу</w:t>
      </w:r>
    </w:p>
    <w:p w14:paraId="27058A87" w14:textId="2C71A686"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Әр виртуалды зертханаға:</w:t>
      </w:r>
      <w:r w:rsidR="00E07BA0" w:rsidRPr="00B54964">
        <w:rPr>
          <w:rFonts w:ascii="Times New Roman" w:hAnsi="Times New Roman" w:cs="Times New Roman"/>
          <w:i/>
          <w:iCs/>
          <w:color w:val="2C333E"/>
          <w:sz w:val="20"/>
          <w:szCs w:val="20"/>
          <w:shd w:val="clear" w:color="auto" w:fill="FFFFFF"/>
          <w:lang w:val="kk-KZ"/>
        </w:rPr>
        <w:t xml:space="preserve"> нақты көрсетілген әдістемелік нұсқаулық қажет.</w:t>
      </w:r>
    </w:p>
    <w:p w14:paraId="1AA02F3E" w14:textId="5C5D5B63"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мақсат,</w:t>
      </w:r>
    </w:p>
    <w:p w14:paraId="0E411AF8" w14:textId="7A5DEBFD"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тапсырмалар,</w:t>
      </w:r>
    </w:p>
    <w:p w14:paraId="72B44D78" w14:textId="134BCB35"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орындалу алгоритмі,</w:t>
      </w:r>
    </w:p>
    <w:p w14:paraId="0A0CE956" w14:textId="20204BD0" w:rsidR="00542C85" w:rsidRPr="00B54964" w:rsidRDefault="00542C85" w:rsidP="00B54964">
      <w:pPr>
        <w:pStyle w:val="a7"/>
        <w:numPr>
          <w:ilvl w:val="0"/>
          <w:numId w:val="2"/>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бағалау критерийлері</w:t>
      </w:r>
    </w:p>
    <w:p w14:paraId="34C585CB" w14:textId="2D37F28C"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Оқу бағдарламасына интеграциялау</w:t>
      </w:r>
    </w:p>
    <w:p w14:paraId="18AA802E"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Биологияның әр бөліміне сәйкес виртуалды зертханалар таңдалып, оқу жоспарына енгізілуі тиіс. Мысалы:</w:t>
      </w:r>
    </w:p>
    <w:p w14:paraId="19B8E8BF" w14:textId="79C8460C" w:rsidR="00542C85" w:rsidRPr="00B54964" w:rsidRDefault="00542C85" w:rsidP="00B54964">
      <w:pPr>
        <w:pStyle w:val="a7"/>
        <w:numPr>
          <w:ilvl w:val="0"/>
          <w:numId w:val="7"/>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7-сынып: жасуша, ағза құрылымы</w:t>
      </w:r>
    </w:p>
    <w:p w14:paraId="65C5B709" w14:textId="2E946F51" w:rsidR="00542C85" w:rsidRPr="00B54964" w:rsidRDefault="00542C85" w:rsidP="00B54964">
      <w:pPr>
        <w:pStyle w:val="a7"/>
        <w:numPr>
          <w:ilvl w:val="0"/>
          <w:numId w:val="7"/>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8-сынып: физиология</w:t>
      </w:r>
    </w:p>
    <w:p w14:paraId="6D0BB154" w14:textId="3D9E481E" w:rsidR="00542C85" w:rsidRPr="00B54964" w:rsidRDefault="00542C85" w:rsidP="00B54964">
      <w:pPr>
        <w:pStyle w:val="a7"/>
        <w:numPr>
          <w:ilvl w:val="0"/>
          <w:numId w:val="7"/>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9-сынып: экология, генетика</w:t>
      </w:r>
    </w:p>
    <w:p w14:paraId="749ED448" w14:textId="4B2A37A4" w:rsidR="00542C85" w:rsidRPr="00B54964" w:rsidRDefault="00542C85" w:rsidP="00B54964">
      <w:pPr>
        <w:pStyle w:val="a7"/>
        <w:numPr>
          <w:ilvl w:val="0"/>
          <w:numId w:val="7"/>
        </w:numPr>
        <w:spacing w:after="0" w:line="240" w:lineRule="auto"/>
        <w:ind w:left="0"/>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10–11-сынып: молекулалық биология, биотехнология</w:t>
      </w:r>
    </w:p>
    <w:p w14:paraId="56B82E2F" w14:textId="4CA1EF22" w:rsidR="00542C85" w:rsidRPr="00B54964" w:rsidRDefault="00542C85" w:rsidP="00B54964">
      <w:pPr>
        <w:spacing w:after="0" w:line="240" w:lineRule="auto"/>
        <w:rPr>
          <w:rFonts w:ascii="Times New Roman" w:hAnsi="Times New Roman" w:cs="Times New Roman"/>
          <w:b/>
          <w:bCs/>
          <w:i/>
          <w:iCs/>
          <w:color w:val="2C333E"/>
          <w:sz w:val="20"/>
          <w:szCs w:val="20"/>
          <w:shd w:val="clear" w:color="auto" w:fill="FFFFFF"/>
          <w:lang w:val="kk-KZ"/>
        </w:rPr>
      </w:pPr>
      <w:r w:rsidRPr="00B54964">
        <w:rPr>
          <w:rFonts w:ascii="Times New Roman" w:hAnsi="Times New Roman" w:cs="Times New Roman"/>
          <w:b/>
          <w:bCs/>
          <w:i/>
          <w:iCs/>
          <w:color w:val="2C333E"/>
          <w:sz w:val="20"/>
          <w:szCs w:val="20"/>
          <w:shd w:val="clear" w:color="auto" w:fill="FFFFFF"/>
          <w:lang w:val="kk-KZ"/>
        </w:rPr>
        <w:t>Аралас (гибридті) оқыту</w:t>
      </w:r>
    </w:p>
    <w:p w14:paraId="72D0ABFE" w14:textId="77777777"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Ең тиімді тәсіл – виртуалды және дәстүрлі зертханаларды біріктіру. Бұл оқушыларға теориялық модельдер мен практикалық дағдыларды қатар меңгеруге мүмкіндік береді.</w:t>
      </w:r>
    </w:p>
    <w:p w14:paraId="0A5ECE4F" w14:textId="082A57A0" w:rsidR="00542C85"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t>Қорытынды</w:t>
      </w:r>
    </w:p>
    <w:p w14:paraId="52585F11" w14:textId="6A4F45FC" w:rsidR="00E17B03" w:rsidRPr="00B54964" w:rsidRDefault="00542C85" w:rsidP="00B54964">
      <w:pPr>
        <w:spacing w:after="0" w:line="240" w:lineRule="auto"/>
        <w:rPr>
          <w:rFonts w:ascii="Times New Roman" w:hAnsi="Times New Roman" w:cs="Times New Roman"/>
          <w:i/>
          <w:iCs/>
          <w:color w:val="2C333E"/>
          <w:sz w:val="20"/>
          <w:szCs w:val="20"/>
          <w:shd w:val="clear" w:color="auto" w:fill="FFFFFF"/>
          <w:lang w:val="kk-KZ"/>
        </w:rPr>
      </w:pPr>
      <w:r w:rsidRPr="00B54964">
        <w:rPr>
          <w:rFonts w:ascii="Times New Roman" w:hAnsi="Times New Roman" w:cs="Times New Roman"/>
          <w:i/>
          <w:iCs/>
          <w:color w:val="2C333E"/>
          <w:sz w:val="20"/>
          <w:szCs w:val="20"/>
          <w:shd w:val="clear" w:color="auto" w:fill="FFFFFF"/>
          <w:lang w:val="kk-KZ"/>
        </w:rPr>
        <w:lastRenderedPageBreak/>
        <w:t>Биология пәнін оқытуда виртуалды зертханалардың маңызы өте жоғары. Олар оқу процесін жаңғыртып, оны заманауи, интерактивті және қолжетімді етеді. Виртуалды зертханалар оқушылардың ғылыми ойлау қабілетін дамытып, зерттеушілік дағдыларын қалыптастырады, күрделі биологиялық процестерді түсінуді жеңілдетеді. Сонымен қатар, қауіпсіздік, материалдық ресурстарды үнемдеу және оқу процесін дараландыру сияқты маңызды артықшылықтарға ие.</w:t>
      </w:r>
      <w:r w:rsidR="00E07BA0" w:rsidRPr="00B54964">
        <w:rPr>
          <w:rFonts w:ascii="Times New Roman" w:hAnsi="Times New Roman" w:cs="Times New Roman"/>
          <w:i/>
          <w:iCs/>
          <w:color w:val="2C333E"/>
          <w:sz w:val="20"/>
          <w:szCs w:val="20"/>
          <w:shd w:val="clear" w:color="auto" w:fill="FFFFFF"/>
          <w:lang w:val="kk-KZ"/>
        </w:rPr>
        <w:t xml:space="preserve"> </w:t>
      </w:r>
      <w:r w:rsidRPr="00B54964">
        <w:rPr>
          <w:rFonts w:ascii="Times New Roman" w:hAnsi="Times New Roman" w:cs="Times New Roman"/>
          <w:i/>
          <w:iCs/>
          <w:color w:val="2C333E"/>
          <w:sz w:val="20"/>
          <w:szCs w:val="20"/>
          <w:shd w:val="clear" w:color="auto" w:fill="FFFFFF"/>
          <w:lang w:val="kk-KZ"/>
        </w:rPr>
        <w:t>Дегенмен, виртуалды зертханалар нақты зертханалық жұмыстың орнын толық баса алмайды. Сондықтан олар дәстүрлі әдістерді толықтырушы, байытушы құрал ретінде қарастырылуы тиіс. Мұғалімдердің кәсіби дайындығы, оқу-әдістемелік қамтамасыз ету және техникалық базаны жетілдіру арқылы виртуалды зертханаларды білім беру жүйесіне тиімді енгізу биология пәнінің сапалы оқытылуына ықпал етеді.Виртуалды зертханалар – болашақ биологтар мен зерттеушілердің алғашқы ғылыми тәжірибесіне жол ашатын инновациялық құрал. Білім беру технологияларының дамуы бұл бағыттағы мүмкіндіктерді одан әрі кеңейтіп, оқытудың тиімділігін арттыра беретіні сөзсіз.</w:t>
      </w:r>
    </w:p>
    <w:sectPr w:rsidR="00E17B03" w:rsidRPr="00B54964" w:rsidSect="00E07BA0">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2DC9"/>
    <w:multiLevelType w:val="hybridMultilevel"/>
    <w:tmpl w:val="8872EFB8"/>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A032B4"/>
    <w:multiLevelType w:val="hybridMultilevel"/>
    <w:tmpl w:val="BDAADB88"/>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A49BF"/>
    <w:multiLevelType w:val="hybridMultilevel"/>
    <w:tmpl w:val="EB70EB0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D34A9F"/>
    <w:multiLevelType w:val="hybridMultilevel"/>
    <w:tmpl w:val="DA265CB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50E35"/>
    <w:multiLevelType w:val="hybridMultilevel"/>
    <w:tmpl w:val="553662C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CB47ED"/>
    <w:multiLevelType w:val="hybridMultilevel"/>
    <w:tmpl w:val="016E3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C087D"/>
    <w:multiLevelType w:val="hybridMultilevel"/>
    <w:tmpl w:val="872ACB7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002914"/>
    <w:rsid w:val="00132C78"/>
    <w:rsid w:val="00147EC5"/>
    <w:rsid w:val="002D31C7"/>
    <w:rsid w:val="004C13A8"/>
    <w:rsid w:val="004F3B10"/>
    <w:rsid w:val="00542C85"/>
    <w:rsid w:val="005C3306"/>
    <w:rsid w:val="006044F0"/>
    <w:rsid w:val="00A53C65"/>
    <w:rsid w:val="00B54964"/>
    <w:rsid w:val="00B623FF"/>
    <w:rsid w:val="00C031D6"/>
    <w:rsid w:val="00D67282"/>
    <w:rsid w:val="00E07BA0"/>
    <w:rsid w:val="00E17B03"/>
    <w:rsid w:val="00F24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User</cp:lastModifiedBy>
  <cp:revision>7</cp:revision>
  <dcterms:created xsi:type="dcterms:W3CDTF">2025-12-08T17:56:00Z</dcterms:created>
  <dcterms:modified xsi:type="dcterms:W3CDTF">2025-12-12T20:17:00Z</dcterms:modified>
</cp:coreProperties>
</file>